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91D" w:rsidRDefault="00DA447D" w:rsidP="001F791D">
      <w:pPr>
        <w:jc w:val="right"/>
      </w:pPr>
      <w:r>
        <w:rPr>
          <w:rFonts w:ascii="Helvetica" w:hAnsi="Helvetica"/>
          <w:noProof/>
          <w:color w:val="999966"/>
          <w:sz w:val="20"/>
          <w:szCs w:val="20"/>
        </w:rPr>
        <w:drawing>
          <wp:inline distT="0" distB="0" distL="0" distR="0">
            <wp:extent cx="914400" cy="434340"/>
            <wp:effectExtent l="19050" t="0" r="0" b="0"/>
            <wp:docPr id="1" name="Picture 1" descr="sg_2_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g_2_colo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3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91D" w:rsidRPr="00DD00BC" w:rsidRDefault="0059239C">
      <w:pPr>
        <w:rPr>
          <w:b/>
          <w:sz w:val="36"/>
          <w:szCs w:val="36"/>
        </w:rPr>
      </w:pPr>
      <w:r w:rsidRPr="00DD00BC">
        <w:rPr>
          <w:b/>
          <w:sz w:val="36"/>
          <w:szCs w:val="36"/>
        </w:rPr>
        <w:t>Seneca Group Fact Sheet</w:t>
      </w:r>
    </w:p>
    <w:p w:rsidR="00947B45" w:rsidRPr="004F12FB" w:rsidRDefault="008C7FEC" w:rsidP="00AF0E99">
      <w:pPr>
        <w:autoSpaceDE w:val="0"/>
        <w:autoSpaceDN w:val="0"/>
        <w:adjustRightInd w:val="0"/>
        <w:spacing w:after="0" w:line="20" w:lineRule="atLeast"/>
        <w:rPr>
          <w:rFonts w:eastAsia="Times New Roman"/>
          <w:sz w:val="28"/>
          <w:szCs w:val="28"/>
        </w:rPr>
      </w:pPr>
      <w:r w:rsidRPr="001A3629">
        <w:rPr>
          <w:rFonts w:eastAsia="Times New Roman"/>
          <w:sz w:val="28"/>
          <w:szCs w:val="28"/>
        </w:rPr>
        <w:t>Seneca Group has been working with</w:t>
      </w:r>
      <w:r w:rsidR="00D4466C" w:rsidRPr="001A3629">
        <w:rPr>
          <w:rFonts w:eastAsia="Times New Roman"/>
          <w:sz w:val="28"/>
          <w:szCs w:val="28"/>
        </w:rPr>
        <w:t xml:space="preserve"> the </w:t>
      </w:r>
      <w:r w:rsidR="009B7F52">
        <w:rPr>
          <w:rFonts w:eastAsia="Times New Roman"/>
          <w:sz w:val="28"/>
          <w:szCs w:val="28"/>
        </w:rPr>
        <w:t>Space Needle LLC</w:t>
      </w:r>
      <w:r w:rsidR="00D4466C" w:rsidRPr="001A3629">
        <w:rPr>
          <w:rFonts w:eastAsia="Times New Roman"/>
          <w:sz w:val="28"/>
          <w:szCs w:val="28"/>
        </w:rPr>
        <w:t xml:space="preserve"> since </w:t>
      </w:r>
      <w:r w:rsidR="00F76B36" w:rsidRPr="001A3629">
        <w:rPr>
          <w:rFonts w:eastAsia="Times New Roman"/>
          <w:sz w:val="28"/>
          <w:szCs w:val="28"/>
        </w:rPr>
        <w:t xml:space="preserve">late </w:t>
      </w:r>
      <w:r w:rsidR="00D4466C" w:rsidRPr="001A3629">
        <w:rPr>
          <w:rFonts w:eastAsia="Times New Roman"/>
          <w:sz w:val="28"/>
          <w:szCs w:val="28"/>
        </w:rPr>
        <w:t>200</w:t>
      </w:r>
      <w:r w:rsidR="009B7F52">
        <w:rPr>
          <w:rFonts w:eastAsia="Times New Roman"/>
          <w:sz w:val="28"/>
          <w:szCs w:val="28"/>
        </w:rPr>
        <w:t>9</w:t>
      </w:r>
      <w:r w:rsidR="00D82068" w:rsidRPr="001A3629">
        <w:rPr>
          <w:rFonts w:eastAsia="Times New Roman"/>
          <w:sz w:val="28"/>
          <w:szCs w:val="28"/>
        </w:rPr>
        <w:t xml:space="preserve">, </w:t>
      </w:r>
      <w:r w:rsidR="00D4466C" w:rsidRPr="001A3629">
        <w:rPr>
          <w:rFonts w:eastAsia="Times New Roman"/>
          <w:sz w:val="28"/>
          <w:szCs w:val="28"/>
        </w:rPr>
        <w:t xml:space="preserve">when </w:t>
      </w:r>
      <w:r w:rsidR="00FA2C50">
        <w:rPr>
          <w:rFonts w:eastAsia="Times New Roman"/>
          <w:sz w:val="28"/>
          <w:szCs w:val="28"/>
        </w:rPr>
        <w:t>the Space Needle</w:t>
      </w:r>
      <w:r w:rsidR="00F76B36" w:rsidRPr="001A3629">
        <w:rPr>
          <w:rFonts w:eastAsia="Times New Roman"/>
          <w:sz w:val="28"/>
          <w:szCs w:val="28"/>
        </w:rPr>
        <w:t xml:space="preserve"> </w:t>
      </w:r>
      <w:r w:rsidR="00EE7407">
        <w:rPr>
          <w:rFonts w:eastAsia="Times New Roman"/>
          <w:sz w:val="28"/>
          <w:szCs w:val="28"/>
        </w:rPr>
        <w:t xml:space="preserve">LLC </w:t>
      </w:r>
      <w:r w:rsidR="00D4466C" w:rsidRPr="001A3629">
        <w:rPr>
          <w:rFonts w:eastAsia="Times New Roman"/>
          <w:sz w:val="28"/>
          <w:szCs w:val="28"/>
        </w:rPr>
        <w:t xml:space="preserve">began </w:t>
      </w:r>
      <w:r w:rsidR="00F76B36" w:rsidRPr="001A3629">
        <w:rPr>
          <w:rFonts w:eastAsia="Times New Roman"/>
          <w:sz w:val="28"/>
          <w:szCs w:val="28"/>
        </w:rPr>
        <w:t>considering</w:t>
      </w:r>
      <w:r w:rsidR="006D267B">
        <w:rPr>
          <w:rFonts w:eastAsia="Times New Roman"/>
          <w:sz w:val="28"/>
          <w:szCs w:val="28"/>
        </w:rPr>
        <w:t xml:space="preserve"> a permanent exhibition of Chihuly Art</w:t>
      </w:r>
      <w:r w:rsidR="00F76B36" w:rsidRPr="001A3629">
        <w:rPr>
          <w:rFonts w:eastAsia="Times New Roman"/>
          <w:sz w:val="28"/>
          <w:szCs w:val="28"/>
        </w:rPr>
        <w:t xml:space="preserve">.  </w:t>
      </w:r>
      <w:r w:rsidR="0050080D" w:rsidRPr="004F12FB">
        <w:rPr>
          <w:rFonts w:eastAsia="Times New Roman"/>
          <w:sz w:val="28"/>
          <w:szCs w:val="28"/>
        </w:rPr>
        <w:t xml:space="preserve">To </w:t>
      </w:r>
      <w:r w:rsidR="00541E8B" w:rsidRPr="004F12FB">
        <w:rPr>
          <w:rFonts w:eastAsia="Times New Roman"/>
          <w:sz w:val="28"/>
          <w:szCs w:val="28"/>
        </w:rPr>
        <w:t xml:space="preserve">help </w:t>
      </w:r>
      <w:r w:rsidR="0050080D" w:rsidRPr="004F12FB">
        <w:rPr>
          <w:rFonts w:eastAsia="Times New Roman"/>
          <w:sz w:val="28"/>
          <w:szCs w:val="28"/>
        </w:rPr>
        <w:t>further explore the idea</w:t>
      </w:r>
      <w:r w:rsidR="00541E8B" w:rsidRPr="004F12FB">
        <w:rPr>
          <w:rFonts w:eastAsia="Times New Roman"/>
          <w:sz w:val="28"/>
          <w:szCs w:val="28"/>
        </w:rPr>
        <w:t xml:space="preserve"> of a permanent exhibit</w:t>
      </w:r>
      <w:r w:rsidR="0050080D" w:rsidRPr="004F12FB">
        <w:rPr>
          <w:rFonts w:eastAsia="Times New Roman"/>
          <w:sz w:val="28"/>
          <w:szCs w:val="28"/>
        </w:rPr>
        <w:t xml:space="preserve">, Seneca </w:t>
      </w:r>
      <w:r w:rsidR="00541E8B" w:rsidRPr="004F12FB">
        <w:rPr>
          <w:rFonts w:eastAsia="Times New Roman"/>
          <w:sz w:val="28"/>
          <w:szCs w:val="28"/>
        </w:rPr>
        <w:t xml:space="preserve">Group was engaged to work with </w:t>
      </w:r>
      <w:r w:rsidR="0050080D" w:rsidRPr="004F12FB">
        <w:rPr>
          <w:rFonts w:eastAsia="Times New Roman"/>
          <w:sz w:val="28"/>
          <w:szCs w:val="28"/>
        </w:rPr>
        <w:t>the</w:t>
      </w:r>
      <w:r w:rsidR="00FA2C50">
        <w:rPr>
          <w:rFonts w:eastAsia="Times New Roman"/>
          <w:sz w:val="28"/>
          <w:szCs w:val="28"/>
        </w:rPr>
        <w:t>m</w:t>
      </w:r>
      <w:r w:rsidR="0050080D" w:rsidRPr="004F12FB">
        <w:rPr>
          <w:rFonts w:eastAsia="Times New Roman"/>
          <w:sz w:val="28"/>
          <w:szCs w:val="28"/>
        </w:rPr>
        <w:t xml:space="preserve"> and Chihuly Art </w:t>
      </w:r>
      <w:r w:rsidR="00541E8B" w:rsidRPr="004F12FB">
        <w:rPr>
          <w:rFonts w:eastAsia="Times New Roman"/>
          <w:sz w:val="28"/>
          <w:szCs w:val="28"/>
        </w:rPr>
        <w:t xml:space="preserve">to define the initial program, select an architecture team to develop a design, and to coordinate and collaborate with Seattle Center on the design and presentation of the project to Seattle Design Commission for </w:t>
      </w:r>
      <w:r w:rsidR="000D4517">
        <w:rPr>
          <w:rFonts w:eastAsia="Times New Roman"/>
          <w:sz w:val="28"/>
          <w:szCs w:val="28"/>
        </w:rPr>
        <w:t xml:space="preserve">their </w:t>
      </w:r>
      <w:r w:rsidR="00541E8B" w:rsidRPr="004F12FB">
        <w:rPr>
          <w:rFonts w:eastAsia="Times New Roman"/>
          <w:sz w:val="28"/>
          <w:szCs w:val="28"/>
        </w:rPr>
        <w:t xml:space="preserve">review.  </w:t>
      </w:r>
    </w:p>
    <w:p w:rsidR="00947B45" w:rsidRPr="004F12FB" w:rsidRDefault="00947B45" w:rsidP="00AF0E99">
      <w:pPr>
        <w:autoSpaceDE w:val="0"/>
        <w:autoSpaceDN w:val="0"/>
        <w:adjustRightInd w:val="0"/>
        <w:spacing w:after="0" w:line="20" w:lineRule="atLeast"/>
        <w:rPr>
          <w:rFonts w:cs="Arial"/>
          <w:color w:val="000000"/>
          <w:sz w:val="28"/>
          <w:szCs w:val="28"/>
        </w:rPr>
      </w:pPr>
    </w:p>
    <w:p w:rsidR="00541E8B" w:rsidRDefault="00001FD9" w:rsidP="00AF0E99">
      <w:pPr>
        <w:autoSpaceDE w:val="0"/>
        <w:autoSpaceDN w:val="0"/>
        <w:adjustRightInd w:val="0"/>
        <w:spacing w:after="0" w:line="20" w:lineRule="atLeast"/>
        <w:rPr>
          <w:rFonts w:cs="Arial"/>
          <w:color w:val="000000"/>
          <w:sz w:val="28"/>
          <w:szCs w:val="28"/>
        </w:rPr>
      </w:pPr>
      <w:r w:rsidRPr="004F12FB">
        <w:rPr>
          <w:rFonts w:cs="Arial"/>
          <w:color w:val="000000"/>
          <w:sz w:val="28"/>
          <w:szCs w:val="28"/>
        </w:rPr>
        <w:t>Once the Seattle Center site was under contract</w:t>
      </w:r>
      <w:r w:rsidR="00AF0E99" w:rsidRPr="004F12FB">
        <w:rPr>
          <w:rFonts w:cs="Arial"/>
          <w:color w:val="000000"/>
          <w:sz w:val="28"/>
          <w:szCs w:val="28"/>
        </w:rPr>
        <w:t>,</w:t>
      </w:r>
      <w:r w:rsidRPr="004F12FB">
        <w:rPr>
          <w:rFonts w:cs="Arial"/>
          <w:color w:val="000000"/>
          <w:sz w:val="28"/>
          <w:szCs w:val="28"/>
        </w:rPr>
        <w:t xml:space="preserve"> </w:t>
      </w:r>
      <w:r w:rsidR="00663B37" w:rsidRPr="004F12FB">
        <w:rPr>
          <w:rFonts w:cs="Arial"/>
          <w:color w:val="000000"/>
          <w:sz w:val="28"/>
          <w:szCs w:val="28"/>
        </w:rPr>
        <w:t xml:space="preserve">the </w:t>
      </w:r>
      <w:r w:rsidRPr="004F12FB">
        <w:rPr>
          <w:rFonts w:cs="Arial"/>
          <w:color w:val="000000"/>
          <w:sz w:val="28"/>
          <w:szCs w:val="28"/>
        </w:rPr>
        <w:t xml:space="preserve">Seneca </w:t>
      </w:r>
      <w:r w:rsidR="00663B37" w:rsidRPr="004F12FB">
        <w:rPr>
          <w:rFonts w:cs="Arial"/>
          <w:color w:val="000000"/>
          <w:sz w:val="28"/>
          <w:szCs w:val="28"/>
        </w:rPr>
        <w:t xml:space="preserve">team </w:t>
      </w:r>
      <w:r w:rsidR="00947B45" w:rsidRPr="004F12FB">
        <w:rPr>
          <w:rFonts w:cs="Arial"/>
          <w:color w:val="000000"/>
          <w:sz w:val="28"/>
          <w:szCs w:val="28"/>
        </w:rPr>
        <w:t>drove the development</w:t>
      </w:r>
      <w:r w:rsidR="00486858" w:rsidRPr="004F12FB">
        <w:rPr>
          <w:rFonts w:cs="Arial"/>
          <w:color w:val="000000"/>
          <w:sz w:val="28"/>
          <w:szCs w:val="28"/>
        </w:rPr>
        <w:t xml:space="preserve"> management effort </w:t>
      </w:r>
      <w:r w:rsidR="00F2523E" w:rsidRPr="004F12FB">
        <w:rPr>
          <w:rFonts w:cs="Arial"/>
          <w:color w:val="000000"/>
          <w:sz w:val="28"/>
          <w:szCs w:val="28"/>
        </w:rPr>
        <w:t xml:space="preserve">on behalf of the </w:t>
      </w:r>
      <w:r w:rsidR="00541E8B" w:rsidRPr="004F12FB">
        <w:rPr>
          <w:rFonts w:cs="Arial"/>
          <w:color w:val="000000"/>
          <w:sz w:val="28"/>
          <w:szCs w:val="28"/>
        </w:rPr>
        <w:t>Space Needle LLC</w:t>
      </w:r>
      <w:r w:rsidRPr="004F12FB">
        <w:rPr>
          <w:rFonts w:cs="Arial"/>
          <w:color w:val="000000"/>
          <w:sz w:val="28"/>
          <w:szCs w:val="28"/>
        </w:rPr>
        <w:t xml:space="preserve">.  </w:t>
      </w:r>
      <w:r w:rsidR="00663B37" w:rsidRPr="004F12FB">
        <w:rPr>
          <w:rFonts w:cs="Arial"/>
          <w:color w:val="000000"/>
          <w:sz w:val="28"/>
          <w:szCs w:val="28"/>
        </w:rPr>
        <w:t xml:space="preserve">Seneca Group’s primary focus was to ensure that the </w:t>
      </w:r>
      <w:r w:rsidR="00541E8B" w:rsidRPr="004F12FB">
        <w:rPr>
          <w:rFonts w:cs="Arial"/>
          <w:color w:val="000000"/>
          <w:sz w:val="28"/>
          <w:szCs w:val="28"/>
        </w:rPr>
        <w:t xml:space="preserve">Space Needle LLC’s </w:t>
      </w:r>
      <w:r w:rsidR="00663B37" w:rsidRPr="004F12FB">
        <w:rPr>
          <w:rFonts w:cs="Arial"/>
          <w:color w:val="000000"/>
          <w:sz w:val="28"/>
          <w:szCs w:val="28"/>
        </w:rPr>
        <w:t>leadership was positioned to make well-informed decisions throughout the project</w:t>
      </w:r>
      <w:r w:rsidR="00AF0E99" w:rsidRPr="004F12FB">
        <w:rPr>
          <w:rFonts w:cs="Arial"/>
          <w:color w:val="000000"/>
          <w:sz w:val="28"/>
          <w:szCs w:val="28"/>
        </w:rPr>
        <w:t xml:space="preserve">.  Seneca </w:t>
      </w:r>
      <w:r w:rsidR="00850016">
        <w:rPr>
          <w:rFonts w:cs="Arial"/>
          <w:color w:val="000000"/>
          <w:sz w:val="28"/>
          <w:szCs w:val="28"/>
        </w:rPr>
        <w:t xml:space="preserve">Group </w:t>
      </w:r>
      <w:r w:rsidR="00AF0E99" w:rsidRPr="004F12FB">
        <w:rPr>
          <w:rFonts w:cs="Arial"/>
          <w:color w:val="000000"/>
          <w:sz w:val="28"/>
          <w:szCs w:val="28"/>
        </w:rPr>
        <w:t>then implemented those decisions,</w:t>
      </w:r>
      <w:r w:rsidR="00CC77A2" w:rsidRPr="004F12FB">
        <w:rPr>
          <w:rFonts w:cs="Arial"/>
          <w:color w:val="000000"/>
          <w:sz w:val="28"/>
          <w:szCs w:val="28"/>
        </w:rPr>
        <w:t xml:space="preserve"> allowing</w:t>
      </w:r>
      <w:r w:rsidR="00663B37" w:rsidRPr="004F12FB">
        <w:rPr>
          <w:rFonts w:cs="Arial"/>
          <w:color w:val="000000"/>
          <w:sz w:val="28"/>
          <w:szCs w:val="28"/>
        </w:rPr>
        <w:t xml:space="preserve"> </w:t>
      </w:r>
      <w:r w:rsidR="006E7130" w:rsidRPr="004F12FB">
        <w:rPr>
          <w:rFonts w:cs="Arial"/>
          <w:color w:val="000000"/>
          <w:sz w:val="28"/>
          <w:szCs w:val="28"/>
        </w:rPr>
        <w:t>internal</w:t>
      </w:r>
      <w:r w:rsidR="00375250" w:rsidRPr="004F12FB">
        <w:rPr>
          <w:rFonts w:cs="Arial"/>
          <w:color w:val="000000"/>
          <w:sz w:val="28"/>
          <w:szCs w:val="28"/>
        </w:rPr>
        <w:t xml:space="preserve"> </w:t>
      </w:r>
      <w:r w:rsidR="00663B37" w:rsidRPr="004F12FB">
        <w:rPr>
          <w:rFonts w:cs="Arial"/>
          <w:color w:val="000000"/>
          <w:sz w:val="28"/>
          <w:szCs w:val="28"/>
        </w:rPr>
        <w:t>staff to focus on their core business.</w:t>
      </w:r>
      <w:r w:rsidR="00663B37">
        <w:rPr>
          <w:rFonts w:cs="Arial"/>
          <w:color w:val="000000"/>
          <w:sz w:val="28"/>
          <w:szCs w:val="28"/>
        </w:rPr>
        <w:t xml:space="preserve"> </w:t>
      </w:r>
      <w:r w:rsidR="006D267B">
        <w:rPr>
          <w:rFonts w:cs="Arial"/>
          <w:color w:val="000000"/>
          <w:sz w:val="28"/>
          <w:szCs w:val="28"/>
        </w:rPr>
        <w:t xml:space="preserve">  </w:t>
      </w:r>
    </w:p>
    <w:p w:rsidR="00541E8B" w:rsidRDefault="00541E8B" w:rsidP="00AF0E99">
      <w:pPr>
        <w:autoSpaceDE w:val="0"/>
        <w:autoSpaceDN w:val="0"/>
        <w:adjustRightInd w:val="0"/>
        <w:spacing w:after="0" w:line="20" w:lineRule="atLeast"/>
        <w:rPr>
          <w:rFonts w:cs="Arial"/>
          <w:color w:val="000000"/>
          <w:sz w:val="28"/>
          <w:szCs w:val="28"/>
        </w:rPr>
      </w:pPr>
    </w:p>
    <w:p w:rsidR="00B57F90" w:rsidRDefault="00341DAE" w:rsidP="00AF0E99">
      <w:pPr>
        <w:autoSpaceDE w:val="0"/>
        <w:autoSpaceDN w:val="0"/>
        <w:adjustRightInd w:val="0"/>
        <w:spacing w:after="0" w:line="20" w:lineRule="atLeast"/>
        <w:rPr>
          <w:rFonts w:cs="Arial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Throughout the planning, </w:t>
      </w:r>
      <w:r w:rsidR="006D267B">
        <w:rPr>
          <w:rFonts w:cs="Calibri"/>
          <w:color w:val="000000"/>
          <w:sz w:val="28"/>
          <w:szCs w:val="28"/>
        </w:rPr>
        <w:t>design</w:t>
      </w:r>
      <w:r>
        <w:rPr>
          <w:rFonts w:cs="Calibri"/>
          <w:color w:val="000000"/>
          <w:sz w:val="28"/>
          <w:szCs w:val="28"/>
        </w:rPr>
        <w:t>, and permitting</w:t>
      </w:r>
      <w:r w:rsidR="004105F4">
        <w:rPr>
          <w:rFonts w:cs="Calibri"/>
          <w:color w:val="000000"/>
          <w:sz w:val="28"/>
          <w:szCs w:val="28"/>
        </w:rPr>
        <w:t xml:space="preserve"> </w:t>
      </w:r>
      <w:r w:rsidR="00FA3F84">
        <w:rPr>
          <w:rFonts w:cs="Calibri"/>
          <w:color w:val="000000"/>
          <w:sz w:val="28"/>
          <w:szCs w:val="28"/>
        </w:rPr>
        <w:t>of this complex project,</w:t>
      </w:r>
      <w:r w:rsidR="00570E3A">
        <w:rPr>
          <w:rFonts w:cs="Calibri"/>
          <w:color w:val="000000"/>
          <w:sz w:val="28"/>
          <w:szCs w:val="28"/>
        </w:rPr>
        <w:t xml:space="preserve"> </w:t>
      </w:r>
      <w:r w:rsidR="00D4466C">
        <w:rPr>
          <w:rFonts w:cs="Arial"/>
          <w:color w:val="000000"/>
          <w:sz w:val="28"/>
          <w:szCs w:val="28"/>
        </w:rPr>
        <w:t xml:space="preserve">Seneca </w:t>
      </w:r>
      <w:r w:rsidR="004105F4">
        <w:rPr>
          <w:rFonts w:cs="Arial"/>
          <w:color w:val="000000"/>
          <w:sz w:val="28"/>
          <w:szCs w:val="28"/>
        </w:rPr>
        <w:t xml:space="preserve">Group provided the </w:t>
      </w:r>
      <w:r w:rsidR="006D267B">
        <w:rPr>
          <w:rFonts w:cs="Arial"/>
          <w:color w:val="000000"/>
          <w:sz w:val="28"/>
          <w:szCs w:val="28"/>
        </w:rPr>
        <w:t>Space Needle</w:t>
      </w:r>
      <w:r w:rsidR="004105F4">
        <w:rPr>
          <w:rFonts w:cs="Arial"/>
          <w:color w:val="000000"/>
          <w:sz w:val="28"/>
          <w:szCs w:val="28"/>
        </w:rPr>
        <w:t xml:space="preserve"> </w:t>
      </w:r>
      <w:r w:rsidR="00EE7407">
        <w:rPr>
          <w:rFonts w:cs="Arial"/>
          <w:color w:val="000000"/>
          <w:sz w:val="28"/>
          <w:szCs w:val="28"/>
        </w:rPr>
        <w:t xml:space="preserve">LLC </w:t>
      </w:r>
      <w:r w:rsidR="00FA3F84">
        <w:rPr>
          <w:rFonts w:cs="Arial"/>
          <w:color w:val="000000"/>
          <w:sz w:val="28"/>
          <w:szCs w:val="28"/>
        </w:rPr>
        <w:t xml:space="preserve">with </w:t>
      </w:r>
      <w:r w:rsidR="00B57F90">
        <w:rPr>
          <w:rFonts w:cs="Arial"/>
          <w:color w:val="000000"/>
          <w:sz w:val="28"/>
          <w:szCs w:val="28"/>
        </w:rPr>
        <w:t xml:space="preserve">a deep </w:t>
      </w:r>
      <w:r w:rsidR="000E16D9">
        <w:rPr>
          <w:rFonts w:cs="Arial"/>
          <w:color w:val="000000"/>
          <w:sz w:val="28"/>
          <w:szCs w:val="28"/>
        </w:rPr>
        <w:t xml:space="preserve">well of </w:t>
      </w:r>
      <w:r w:rsidR="00B43E53">
        <w:rPr>
          <w:rFonts w:cs="Arial"/>
          <w:color w:val="000000"/>
          <w:sz w:val="28"/>
          <w:szCs w:val="28"/>
        </w:rPr>
        <w:t xml:space="preserve">expertise </w:t>
      </w:r>
      <w:r w:rsidR="000E16D9">
        <w:rPr>
          <w:rFonts w:cs="Arial"/>
          <w:color w:val="000000"/>
          <w:sz w:val="28"/>
          <w:szCs w:val="28"/>
        </w:rPr>
        <w:t>and resources</w:t>
      </w:r>
      <w:r w:rsidR="00486858">
        <w:rPr>
          <w:rFonts w:cs="Arial"/>
          <w:color w:val="000000"/>
          <w:sz w:val="28"/>
          <w:szCs w:val="28"/>
        </w:rPr>
        <w:t xml:space="preserve">, collectively bringing </w:t>
      </w:r>
      <w:r w:rsidR="00B57F90">
        <w:rPr>
          <w:rFonts w:cs="Arial"/>
          <w:color w:val="000000"/>
          <w:sz w:val="28"/>
          <w:szCs w:val="28"/>
        </w:rPr>
        <w:t xml:space="preserve">over 150 years of </w:t>
      </w:r>
      <w:r w:rsidR="004105F4">
        <w:rPr>
          <w:rFonts w:cs="Arial"/>
          <w:color w:val="000000"/>
          <w:sz w:val="28"/>
          <w:szCs w:val="28"/>
        </w:rPr>
        <w:t>real e</w:t>
      </w:r>
      <w:r w:rsidR="00B43E53">
        <w:rPr>
          <w:rFonts w:cs="Arial"/>
          <w:color w:val="000000"/>
          <w:sz w:val="28"/>
          <w:szCs w:val="28"/>
        </w:rPr>
        <w:t>state and construction experience</w:t>
      </w:r>
      <w:r w:rsidR="004105F4">
        <w:rPr>
          <w:rFonts w:cs="Arial"/>
          <w:color w:val="000000"/>
          <w:sz w:val="28"/>
          <w:szCs w:val="28"/>
        </w:rPr>
        <w:t xml:space="preserve"> to</w:t>
      </w:r>
      <w:r w:rsidR="00486858">
        <w:rPr>
          <w:rFonts w:cs="Arial"/>
          <w:color w:val="000000"/>
          <w:sz w:val="28"/>
          <w:szCs w:val="28"/>
        </w:rPr>
        <w:t xml:space="preserve"> the effort. </w:t>
      </w:r>
      <w:r w:rsidR="004105F4">
        <w:rPr>
          <w:rFonts w:cs="Arial"/>
          <w:color w:val="000000"/>
          <w:sz w:val="28"/>
          <w:szCs w:val="28"/>
        </w:rPr>
        <w:t xml:space="preserve"> </w:t>
      </w:r>
      <w:r w:rsidR="00486858">
        <w:rPr>
          <w:rFonts w:cs="Arial"/>
          <w:color w:val="000000"/>
          <w:sz w:val="28"/>
          <w:szCs w:val="28"/>
        </w:rPr>
        <w:t xml:space="preserve"> </w:t>
      </w:r>
    </w:p>
    <w:p w:rsidR="00FA28AC" w:rsidRDefault="00FA28AC" w:rsidP="00AF0E99">
      <w:pPr>
        <w:autoSpaceDE w:val="0"/>
        <w:autoSpaceDN w:val="0"/>
        <w:adjustRightInd w:val="0"/>
        <w:spacing w:after="0" w:line="20" w:lineRule="atLeast"/>
        <w:rPr>
          <w:rFonts w:cs="Arial"/>
          <w:color w:val="000000"/>
          <w:sz w:val="28"/>
          <w:szCs w:val="28"/>
        </w:rPr>
      </w:pPr>
    </w:p>
    <w:p w:rsidR="00030635" w:rsidRDefault="008C7FEC" w:rsidP="00AF0E99">
      <w:pPr>
        <w:spacing w:after="0" w:line="240" w:lineRule="auto"/>
        <w:rPr>
          <w:rFonts w:eastAsia="Times New Roman"/>
          <w:sz w:val="28"/>
          <w:szCs w:val="28"/>
        </w:rPr>
      </w:pPr>
      <w:r w:rsidRPr="008C7FEC">
        <w:rPr>
          <w:rFonts w:cs="Arial"/>
          <w:color w:val="000000"/>
          <w:sz w:val="28"/>
          <w:szCs w:val="28"/>
          <w:u w:val="single"/>
        </w:rPr>
        <w:t>General Information</w:t>
      </w:r>
      <w:r>
        <w:rPr>
          <w:rFonts w:cs="Arial"/>
          <w:color w:val="000000"/>
          <w:sz w:val="28"/>
          <w:szCs w:val="28"/>
        </w:rPr>
        <w:t xml:space="preserve">: </w:t>
      </w:r>
      <w:r w:rsidR="00D06A86">
        <w:rPr>
          <w:rFonts w:cs="Arial"/>
          <w:sz w:val="28"/>
          <w:szCs w:val="28"/>
        </w:rPr>
        <w:t xml:space="preserve"> </w:t>
      </w:r>
      <w:r w:rsidR="00030635" w:rsidRPr="00635E18">
        <w:rPr>
          <w:rFonts w:eastAsia="Times New Roman"/>
          <w:sz w:val="28"/>
          <w:szCs w:val="28"/>
        </w:rPr>
        <w:t>Seneca Group provides real estate development management and advisory services to private and public sector clients t</w:t>
      </w:r>
      <w:r w:rsidR="00BA14B5">
        <w:rPr>
          <w:rFonts w:eastAsia="Times New Roman"/>
          <w:sz w:val="28"/>
          <w:szCs w:val="28"/>
        </w:rPr>
        <w:t xml:space="preserve">hroughout the Pacific Northwest.  </w:t>
      </w:r>
      <w:r w:rsidR="005E1DBD">
        <w:rPr>
          <w:rFonts w:eastAsia="Times New Roman"/>
          <w:sz w:val="28"/>
          <w:szCs w:val="28"/>
        </w:rPr>
        <w:t>The company</w:t>
      </w:r>
      <w:r w:rsidR="00030635" w:rsidRPr="00635E18">
        <w:rPr>
          <w:rFonts w:eastAsia="Times New Roman"/>
          <w:sz w:val="28"/>
          <w:szCs w:val="28"/>
        </w:rPr>
        <w:t xml:space="preserve"> bring</w:t>
      </w:r>
      <w:r w:rsidR="005E1DBD">
        <w:rPr>
          <w:rFonts w:eastAsia="Times New Roman"/>
          <w:sz w:val="28"/>
          <w:szCs w:val="28"/>
        </w:rPr>
        <w:t>s</w:t>
      </w:r>
      <w:r w:rsidR="00030635" w:rsidRPr="00635E18">
        <w:rPr>
          <w:rFonts w:eastAsia="Times New Roman"/>
          <w:sz w:val="28"/>
          <w:szCs w:val="28"/>
        </w:rPr>
        <w:t xml:space="preserve"> leadership to the real estate development process, and cater</w:t>
      </w:r>
      <w:r w:rsidR="005E1DBD">
        <w:rPr>
          <w:rFonts w:eastAsia="Times New Roman"/>
          <w:sz w:val="28"/>
          <w:szCs w:val="28"/>
        </w:rPr>
        <w:t>s</w:t>
      </w:r>
      <w:r w:rsidR="00030635" w:rsidRPr="00635E18">
        <w:rPr>
          <w:rFonts w:eastAsia="Times New Roman"/>
          <w:sz w:val="28"/>
          <w:szCs w:val="28"/>
        </w:rPr>
        <w:t xml:space="preserve"> </w:t>
      </w:r>
      <w:r w:rsidR="005E1DBD">
        <w:rPr>
          <w:rFonts w:eastAsia="Times New Roman"/>
          <w:sz w:val="28"/>
          <w:szCs w:val="28"/>
        </w:rPr>
        <w:t>their</w:t>
      </w:r>
      <w:r w:rsidR="00030635" w:rsidRPr="00635E18">
        <w:rPr>
          <w:rFonts w:eastAsia="Times New Roman"/>
          <w:sz w:val="28"/>
          <w:szCs w:val="28"/>
        </w:rPr>
        <w:t xml:space="preserve"> services to meet the unique needs of </w:t>
      </w:r>
      <w:r w:rsidR="005E1DBD">
        <w:rPr>
          <w:rFonts w:eastAsia="Times New Roman"/>
          <w:sz w:val="28"/>
          <w:szCs w:val="28"/>
        </w:rPr>
        <w:t xml:space="preserve">their </w:t>
      </w:r>
      <w:r w:rsidR="00030635" w:rsidRPr="00635E18">
        <w:rPr>
          <w:rFonts w:eastAsia="Times New Roman"/>
          <w:sz w:val="28"/>
          <w:szCs w:val="28"/>
        </w:rPr>
        <w:t>clients.</w:t>
      </w:r>
      <w:r w:rsidR="00C67060">
        <w:rPr>
          <w:rFonts w:eastAsia="Times New Roman"/>
          <w:sz w:val="28"/>
          <w:szCs w:val="28"/>
        </w:rPr>
        <w:t xml:space="preserve"> </w:t>
      </w:r>
      <w:r w:rsidR="00030635" w:rsidRPr="00635E18">
        <w:rPr>
          <w:rFonts w:eastAsia="Times New Roman"/>
          <w:sz w:val="28"/>
          <w:szCs w:val="28"/>
        </w:rPr>
        <w:t xml:space="preserve"> </w:t>
      </w:r>
      <w:r w:rsidR="005E1DBD">
        <w:rPr>
          <w:rFonts w:eastAsia="Times New Roman"/>
          <w:sz w:val="28"/>
          <w:szCs w:val="28"/>
        </w:rPr>
        <w:t>Seneca</w:t>
      </w:r>
      <w:r w:rsidR="00EE7407">
        <w:rPr>
          <w:rFonts w:eastAsia="Times New Roman"/>
          <w:sz w:val="28"/>
          <w:szCs w:val="28"/>
        </w:rPr>
        <w:t xml:space="preserve"> Group</w:t>
      </w:r>
      <w:r w:rsidR="005E1DBD">
        <w:rPr>
          <w:rFonts w:eastAsia="Times New Roman"/>
          <w:sz w:val="28"/>
          <w:szCs w:val="28"/>
        </w:rPr>
        <w:t>’s</w:t>
      </w:r>
      <w:r w:rsidR="00030635" w:rsidRPr="00635E18">
        <w:rPr>
          <w:rFonts w:eastAsia="Times New Roman"/>
          <w:sz w:val="28"/>
          <w:szCs w:val="28"/>
        </w:rPr>
        <w:t xml:space="preserve"> proven track record in office, healthcare, civic, education, multifamily</w:t>
      </w:r>
      <w:r w:rsidR="00C67060">
        <w:rPr>
          <w:rFonts w:eastAsia="Times New Roman"/>
          <w:sz w:val="28"/>
          <w:szCs w:val="28"/>
        </w:rPr>
        <w:t>,</w:t>
      </w:r>
      <w:r w:rsidR="00030635" w:rsidRPr="00635E18">
        <w:rPr>
          <w:rFonts w:eastAsia="Times New Roman"/>
          <w:sz w:val="28"/>
          <w:szCs w:val="28"/>
        </w:rPr>
        <w:t xml:space="preserve"> and tenant improvement projects spans a wide array of size and complexity.</w:t>
      </w:r>
    </w:p>
    <w:p w:rsidR="001A3629" w:rsidRPr="00635E18" w:rsidRDefault="001A3629" w:rsidP="00AF0E99">
      <w:pPr>
        <w:spacing w:after="0" w:line="240" w:lineRule="auto"/>
        <w:rPr>
          <w:rFonts w:cs="Arial"/>
          <w:color w:val="000000"/>
          <w:sz w:val="28"/>
          <w:szCs w:val="28"/>
        </w:rPr>
      </w:pPr>
    </w:p>
    <w:p w:rsidR="0059239C" w:rsidRPr="00635E18" w:rsidRDefault="00EE7407" w:rsidP="001A3629">
      <w:pPr>
        <w:spacing w:after="0" w:line="24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Seneca Group’s</w:t>
      </w:r>
      <w:r w:rsidR="00DD00BC" w:rsidRPr="00635E18">
        <w:rPr>
          <w:rFonts w:eastAsia="Times New Roman"/>
          <w:sz w:val="28"/>
          <w:szCs w:val="28"/>
        </w:rPr>
        <w:t xml:space="preserve"> work includes some of the region’s most iconic and respected projects, including Seattle Central Library, the Museum of </w:t>
      </w:r>
      <w:r w:rsidR="00D82068" w:rsidRPr="00635E18">
        <w:rPr>
          <w:rFonts w:eastAsia="Times New Roman"/>
          <w:sz w:val="28"/>
          <w:szCs w:val="28"/>
        </w:rPr>
        <w:t>Flight,</w:t>
      </w:r>
      <w:r w:rsidR="00DD00BC" w:rsidRPr="00635E18">
        <w:rPr>
          <w:rFonts w:eastAsia="Times New Roman"/>
          <w:sz w:val="28"/>
          <w:szCs w:val="28"/>
        </w:rPr>
        <w:t xml:space="preserve"> </w:t>
      </w:r>
      <w:proofErr w:type="spellStart"/>
      <w:r w:rsidR="00DD00BC" w:rsidRPr="00635E18">
        <w:rPr>
          <w:rFonts w:eastAsia="Times New Roman"/>
          <w:sz w:val="28"/>
          <w:szCs w:val="28"/>
        </w:rPr>
        <w:t>Benaroya</w:t>
      </w:r>
      <w:proofErr w:type="spellEnd"/>
      <w:r w:rsidR="00DD00BC" w:rsidRPr="00635E18">
        <w:rPr>
          <w:rFonts w:eastAsia="Times New Roman"/>
          <w:sz w:val="28"/>
          <w:szCs w:val="28"/>
        </w:rPr>
        <w:t xml:space="preserve"> Hall, Seattl</w:t>
      </w:r>
      <w:r w:rsidR="00BA14B5">
        <w:rPr>
          <w:rFonts w:eastAsia="Times New Roman"/>
          <w:sz w:val="28"/>
          <w:szCs w:val="28"/>
        </w:rPr>
        <w:t>e Children’s</w:t>
      </w:r>
      <w:r>
        <w:rPr>
          <w:rFonts w:eastAsia="Times New Roman"/>
          <w:sz w:val="28"/>
          <w:szCs w:val="28"/>
        </w:rPr>
        <w:t xml:space="preserve"> Hospital</w:t>
      </w:r>
      <w:r w:rsidR="00BA14B5">
        <w:rPr>
          <w:rFonts w:eastAsia="Times New Roman"/>
          <w:sz w:val="28"/>
          <w:szCs w:val="28"/>
        </w:rPr>
        <w:t>, Seattle Art Museum,</w:t>
      </w:r>
      <w:r w:rsidR="00DD00BC" w:rsidRPr="00635E18">
        <w:rPr>
          <w:rFonts w:eastAsia="Times New Roman"/>
          <w:sz w:val="28"/>
          <w:szCs w:val="28"/>
        </w:rPr>
        <w:t xml:space="preserve"> Safeco Field</w:t>
      </w:r>
      <w:r w:rsidR="00BA14B5">
        <w:rPr>
          <w:rFonts w:eastAsia="Times New Roman"/>
          <w:sz w:val="28"/>
          <w:szCs w:val="28"/>
        </w:rPr>
        <w:t>, and the new Bill &amp; Melinda Gates Foundation headquarters</w:t>
      </w:r>
      <w:r w:rsidR="00693AE4">
        <w:rPr>
          <w:rFonts w:eastAsia="Times New Roman"/>
          <w:sz w:val="28"/>
          <w:szCs w:val="28"/>
        </w:rPr>
        <w:t>;</w:t>
      </w:r>
      <w:r w:rsidR="005E1DBD">
        <w:rPr>
          <w:rFonts w:eastAsia="Times New Roman"/>
          <w:sz w:val="28"/>
          <w:szCs w:val="28"/>
        </w:rPr>
        <w:t xml:space="preserve"> tenant improvemen</w:t>
      </w:r>
      <w:r>
        <w:rPr>
          <w:rFonts w:eastAsia="Times New Roman"/>
          <w:sz w:val="28"/>
          <w:szCs w:val="28"/>
        </w:rPr>
        <w:t xml:space="preserve">t projects for clients </w:t>
      </w:r>
      <w:r>
        <w:rPr>
          <w:rFonts w:eastAsia="Times New Roman"/>
          <w:sz w:val="28"/>
          <w:szCs w:val="28"/>
        </w:rPr>
        <w:lastRenderedPageBreak/>
        <w:t>include PATH</w:t>
      </w:r>
      <w:r w:rsidR="005E1DBD">
        <w:rPr>
          <w:rFonts w:eastAsia="Times New Roman"/>
          <w:sz w:val="28"/>
          <w:szCs w:val="28"/>
        </w:rPr>
        <w:t>, Amazon</w:t>
      </w:r>
      <w:r w:rsidR="00BA14B5">
        <w:rPr>
          <w:rFonts w:eastAsia="Times New Roman"/>
          <w:sz w:val="28"/>
          <w:szCs w:val="28"/>
        </w:rPr>
        <w:t>,</w:t>
      </w:r>
      <w:r w:rsidR="005E1DBD">
        <w:rPr>
          <w:rFonts w:eastAsia="Times New Roman"/>
          <w:sz w:val="28"/>
          <w:szCs w:val="28"/>
        </w:rPr>
        <w:t xml:space="preserve"> and Expedia</w:t>
      </w:r>
      <w:r w:rsidR="00BA14B5">
        <w:rPr>
          <w:rFonts w:eastAsia="Times New Roman"/>
          <w:sz w:val="28"/>
          <w:szCs w:val="28"/>
        </w:rPr>
        <w:t>;</w:t>
      </w:r>
      <w:r w:rsidR="00555D24">
        <w:rPr>
          <w:rFonts w:eastAsia="Times New Roman"/>
          <w:sz w:val="28"/>
          <w:szCs w:val="28"/>
        </w:rPr>
        <w:t xml:space="preserve"> and educational facilities for </w:t>
      </w:r>
      <w:r>
        <w:rPr>
          <w:rFonts w:eastAsia="Times New Roman"/>
          <w:sz w:val="28"/>
          <w:szCs w:val="28"/>
        </w:rPr>
        <w:t>clients include</w:t>
      </w:r>
      <w:r w:rsidR="00FB4E47">
        <w:rPr>
          <w:rFonts w:eastAsia="Times New Roman"/>
          <w:sz w:val="28"/>
          <w:szCs w:val="28"/>
        </w:rPr>
        <w:t xml:space="preserve"> </w:t>
      </w:r>
      <w:r w:rsidR="00555D24">
        <w:rPr>
          <w:rFonts w:eastAsia="Times New Roman"/>
          <w:sz w:val="28"/>
          <w:szCs w:val="28"/>
        </w:rPr>
        <w:t>Seattle University and Lakeside</w:t>
      </w:r>
      <w:r w:rsidR="00C62028">
        <w:rPr>
          <w:rFonts w:eastAsia="Times New Roman"/>
          <w:sz w:val="28"/>
          <w:szCs w:val="28"/>
        </w:rPr>
        <w:t xml:space="preserve"> School.</w:t>
      </w:r>
    </w:p>
    <w:p w:rsidR="001A3629" w:rsidRDefault="001A3629" w:rsidP="001A362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  <w:u w:val="single"/>
        </w:rPr>
      </w:pPr>
    </w:p>
    <w:p w:rsidR="00F64ACB" w:rsidRPr="00DD00BC" w:rsidRDefault="00DD00BC" w:rsidP="001A362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 w:rsidRPr="00DD00BC">
        <w:rPr>
          <w:rFonts w:ascii="Calibri" w:hAnsi="Calibri"/>
          <w:sz w:val="28"/>
          <w:szCs w:val="28"/>
          <w:u w:val="single"/>
        </w:rPr>
        <w:t>Team</w:t>
      </w:r>
      <w:r w:rsidR="0059239C" w:rsidRPr="00CA78B6">
        <w:rPr>
          <w:rFonts w:ascii="Calibri" w:hAnsi="Calibri"/>
          <w:sz w:val="28"/>
          <w:szCs w:val="28"/>
        </w:rPr>
        <w:t>:</w:t>
      </w:r>
      <w:r w:rsidR="00F64ACB" w:rsidRPr="00DD00BC">
        <w:rPr>
          <w:rFonts w:ascii="Calibri" w:hAnsi="Calibri"/>
          <w:bCs/>
          <w:sz w:val="28"/>
          <w:szCs w:val="28"/>
        </w:rPr>
        <w:t xml:space="preserve"> </w:t>
      </w:r>
      <w:r w:rsidR="00BA14B5">
        <w:rPr>
          <w:rFonts w:ascii="Calibri" w:hAnsi="Calibri"/>
          <w:bCs/>
          <w:sz w:val="28"/>
          <w:szCs w:val="28"/>
        </w:rPr>
        <w:t xml:space="preserve"> </w:t>
      </w:r>
      <w:r w:rsidR="00F64ACB" w:rsidRPr="00DD00BC">
        <w:rPr>
          <w:rFonts w:ascii="Calibri" w:hAnsi="Calibri"/>
          <w:bCs/>
          <w:sz w:val="28"/>
          <w:szCs w:val="28"/>
        </w:rPr>
        <w:t xml:space="preserve">Seneca Group is a </w:t>
      </w:r>
      <w:r w:rsidR="00AF0E99">
        <w:rPr>
          <w:rFonts w:ascii="Calibri" w:hAnsi="Calibri"/>
          <w:bCs/>
          <w:sz w:val="28"/>
          <w:szCs w:val="28"/>
        </w:rPr>
        <w:t>25-person company</w:t>
      </w:r>
      <w:r w:rsidR="00AF0E99" w:rsidRPr="00DD00BC">
        <w:rPr>
          <w:rFonts w:ascii="Calibri" w:hAnsi="Calibri"/>
          <w:bCs/>
          <w:sz w:val="28"/>
          <w:szCs w:val="28"/>
        </w:rPr>
        <w:t xml:space="preserve"> </w:t>
      </w:r>
      <w:r w:rsidR="00F64ACB" w:rsidRPr="00DD00BC">
        <w:rPr>
          <w:rFonts w:ascii="Calibri" w:hAnsi="Calibri"/>
          <w:bCs/>
          <w:sz w:val="28"/>
          <w:szCs w:val="28"/>
        </w:rPr>
        <w:t>led by David Victor, Managing Directo</w:t>
      </w:r>
      <w:r w:rsidR="00847097">
        <w:rPr>
          <w:rFonts w:ascii="Calibri" w:hAnsi="Calibri"/>
          <w:bCs/>
          <w:sz w:val="28"/>
          <w:szCs w:val="28"/>
        </w:rPr>
        <w:t>r</w:t>
      </w:r>
      <w:r w:rsidR="00D06A86" w:rsidRPr="00AF0E99">
        <w:rPr>
          <w:rFonts w:ascii="Calibri" w:hAnsi="Calibri"/>
          <w:bCs/>
          <w:sz w:val="28"/>
          <w:szCs w:val="28"/>
        </w:rPr>
        <w:t>.</w:t>
      </w:r>
      <w:r w:rsidR="00D06A86">
        <w:rPr>
          <w:rFonts w:ascii="Calibri" w:hAnsi="Calibri"/>
          <w:bCs/>
          <w:sz w:val="28"/>
          <w:szCs w:val="28"/>
        </w:rPr>
        <w:t xml:space="preserve">  </w:t>
      </w:r>
      <w:r w:rsidR="006D267B" w:rsidRPr="00850016">
        <w:rPr>
          <w:rFonts w:ascii="Calibri" w:hAnsi="Calibri"/>
          <w:bCs/>
          <w:sz w:val="28"/>
          <w:szCs w:val="28"/>
        </w:rPr>
        <w:t>Partner Amy Worthington</w:t>
      </w:r>
      <w:r w:rsidR="00A55C1C" w:rsidRPr="00850016">
        <w:rPr>
          <w:rFonts w:ascii="Calibri" w:hAnsi="Calibri"/>
          <w:bCs/>
          <w:sz w:val="28"/>
          <w:szCs w:val="28"/>
        </w:rPr>
        <w:t xml:space="preserve"> led the initial pre-development effort including the architect selection process and coordination with Seattle Center.</w:t>
      </w:r>
      <w:r w:rsidR="00A55C1C">
        <w:rPr>
          <w:rFonts w:ascii="Calibri" w:hAnsi="Calibri"/>
          <w:bCs/>
          <w:sz w:val="28"/>
          <w:szCs w:val="28"/>
        </w:rPr>
        <w:t xml:space="preserve"> </w:t>
      </w:r>
      <w:r w:rsidR="006D267B" w:rsidRPr="006D267B">
        <w:rPr>
          <w:rFonts w:ascii="Calibri" w:hAnsi="Calibri"/>
          <w:bCs/>
          <w:i/>
          <w:sz w:val="28"/>
          <w:szCs w:val="28"/>
        </w:rPr>
        <w:t xml:space="preserve"> </w:t>
      </w:r>
      <w:r w:rsidR="00D06A86">
        <w:rPr>
          <w:rFonts w:ascii="Calibri" w:hAnsi="Calibri"/>
          <w:bCs/>
          <w:sz w:val="28"/>
          <w:szCs w:val="28"/>
        </w:rPr>
        <w:t xml:space="preserve">Principal </w:t>
      </w:r>
      <w:r w:rsidR="009B7F52">
        <w:rPr>
          <w:rFonts w:ascii="Calibri" w:hAnsi="Calibri"/>
          <w:bCs/>
          <w:sz w:val="28"/>
          <w:szCs w:val="28"/>
        </w:rPr>
        <w:t>Bob Wicklein</w:t>
      </w:r>
      <w:r w:rsidR="005E1DBD">
        <w:rPr>
          <w:rFonts w:ascii="Calibri" w:hAnsi="Calibri"/>
          <w:bCs/>
          <w:sz w:val="28"/>
          <w:szCs w:val="28"/>
        </w:rPr>
        <w:t xml:space="preserve"> </w:t>
      </w:r>
      <w:r w:rsidR="00817A9D">
        <w:rPr>
          <w:rFonts w:ascii="Calibri" w:hAnsi="Calibri"/>
          <w:bCs/>
          <w:sz w:val="28"/>
          <w:szCs w:val="28"/>
        </w:rPr>
        <w:t xml:space="preserve">has led the development effort for the </w:t>
      </w:r>
      <w:r w:rsidR="009B7F52">
        <w:rPr>
          <w:rFonts w:ascii="Calibri" w:hAnsi="Calibri"/>
          <w:bCs/>
          <w:sz w:val="28"/>
          <w:szCs w:val="28"/>
        </w:rPr>
        <w:t>Chihuly Garden Exhibition</w:t>
      </w:r>
      <w:r w:rsidR="00817A9D">
        <w:rPr>
          <w:rFonts w:ascii="Calibri" w:hAnsi="Calibri"/>
          <w:bCs/>
          <w:sz w:val="28"/>
          <w:szCs w:val="28"/>
        </w:rPr>
        <w:t xml:space="preserve"> together with </w:t>
      </w:r>
      <w:r w:rsidR="009B7F52">
        <w:rPr>
          <w:rFonts w:ascii="Calibri" w:hAnsi="Calibri"/>
          <w:bCs/>
          <w:sz w:val="28"/>
          <w:szCs w:val="28"/>
        </w:rPr>
        <w:t>Ann Lin</w:t>
      </w:r>
      <w:r w:rsidR="00817A9D">
        <w:rPr>
          <w:rFonts w:ascii="Calibri" w:hAnsi="Calibri"/>
          <w:bCs/>
          <w:sz w:val="28"/>
          <w:szCs w:val="28"/>
        </w:rPr>
        <w:t>.</w:t>
      </w:r>
    </w:p>
    <w:p w:rsidR="001A3629" w:rsidRDefault="001A3629" w:rsidP="001A3629">
      <w:pPr>
        <w:spacing w:after="0" w:line="240" w:lineRule="auto"/>
        <w:rPr>
          <w:sz w:val="28"/>
          <w:szCs w:val="28"/>
          <w:u w:val="single"/>
        </w:rPr>
      </w:pPr>
    </w:p>
    <w:p w:rsidR="0059239C" w:rsidRPr="00DD00BC" w:rsidRDefault="0059239C" w:rsidP="001A3629">
      <w:pPr>
        <w:spacing w:after="0" w:line="240" w:lineRule="auto"/>
        <w:rPr>
          <w:sz w:val="28"/>
          <w:szCs w:val="28"/>
        </w:rPr>
      </w:pPr>
      <w:r w:rsidRPr="00DD00BC">
        <w:rPr>
          <w:sz w:val="28"/>
          <w:szCs w:val="28"/>
          <w:u w:val="single"/>
        </w:rPr>
        <w:t>Headquarters</w:t>
      </w:r>
      <w:r w:rsidR="00DD00BC" w:rsidRPr="00BA14B5">
        <w:rPr>
          <w:sz w:val="28"/>
          <w:szCs w:val="28"/>
        </w:rPr>
        <w:t>:</w:t>
      </w:r>
      <w:r w:rsidR="00DD00BC">
        <w:rPr>
          <w:sz w:val="28"/>
          <w:szCs w:val="28"/>
        </w:rPr>
        <w:t xml:space="preserve"> </w:t>
      </w:r>
      <w:r w:rsidR="00850016">
        <w:rPr>
          <w:sz w:val="28"/>
          <w:szCs w:val="28"/>
        </w:rPr>
        <w:t xml:space="preserve"> </w:t>
      </w:r>
      <w:r w:rsidRPr="00DD00BC">
        <w:rPr>
          <w:sz w:val="28"/>
          <w:szCs w:val="28"/>
        </w:rPr>
        <w:t>Seattle</w:t>
      </w:r>
      <w:r w:rsidR="00D06A86">
        <w:rPr>
          <w:sz w:val="28"/>
          <w:szCs w:val="28"/>
        </w:rPr>
        <w:t>, Washington</w:t>
      </w:r>
    </w:p>
    <w:p w:rsidR="001A3629" w:rsidRDefault="001A3629" w:rsidP="001A3629">
      <w:pPr>
        <w:spacing w:after="0" w:line="240" w:lineRule="auto"/>
        <w:rPr>
          <w:sz w:val="28"/>
          <w:szCs w:val="28"/>
          <w:u w:val="single"/>
        </w:rPr>
      </w:pPr>
    </w:p>
    <w:p w:rsidR="001F791D" w:rsidRPr="00DD00BC" w:rsidRDefault="001F791D" w:rsidP="001A3629">
      <w:pPr>
        <w:spacing w:after="0" w:line="240" w:lineRule="auto"/>
        <w:rPr>
          <w:sz w:val="28"/>
          <w:szCs w:val="28"/>
        </w:rPr>
      </w:pPr>
      <w:r w:rsidRPr="00DD00BC">
        <w:rPr>
          <w:sz w:val="28"/>
          <w:szCs w:val="28"/>
          <w:u w:val="single"/>
        </w:rPr>
        <w:t>Established</w:t>
      </w:r>
      <w:r w:rsidRPr="00BA14B5">
        <w:rPr>
          <w:sz w:val="28"/>
          <w:szCs w:val="28"/>
        </w:rPr>
        <w:t>:</w:t>
      </w:r>
      <w:r w:rsidR="0059239C" w:rsidRPr="00DD00BC">
        <w:rPr>
          <w:sz w:val="28"/>
          <w:szCs w:val="28"/>
        </w:rPr>
        <w:tab/>
        <w:t>1992</w:t>
      </w:r>
    </w:p>
    <w:p w:rsidR="00030635" w:rsidRPr="00030635" w:rsidRDefault="00DD00BC" w:rsidP="00030635">
      <w:pPr>
        <w:pStyle w:val="NormalWeb"/>
        <w:rPr>
          <w:rFonts w:ascii="Calibri" w:hAnsi="Calibri"/>
          <w:sz w:val="28"/>
          <w:szCs w:val="28"/>
        </w:rPr>
      </w:pPr>
      <w:r w:rsidRPr="00030635">
        <w:rPr>
          <w:rFonts w:ascii="Calibri" w:hAnsi="Calibri"/>
          <w:sz w:val="28"/>
          <w:szCs w:val="28"/>
          <w:u w:val="single"/>
        </w:rPr>
        <w:t>Services</w:t>
      </w:r>
      <w:r w:rsidRPr="00BA14B5">
        <w:rPr>
          <w:rFonts w:ascii="Calibri" w:hAnsi="Calibri"/>
          <w:sz w:val="28"/>
          <w:szCs w:val="28"/>
        </w:rPr>
        <w:t>:</w:t>
      </w:r>
      <w:r w:rsidRPr="00030635">
        <w:rPr>
          <w:rFonts w:ascii="Calibri" w:hAnsi="Calibri"/>
          <w:sz w:val="28"/>
          <w:szCs w:val="28"/>
        </w:rPr>
        <w:t xml:space="preserve"> </w:t>
      </w:r>
      <w:r w:rsidR="00850016">
        <w:rPr>
          <w:rFonts w:ascii="Calibri" w:hAnsi="Calibri"/>
          <w:sz w:val="28"/>
          <w:szCs w:val="28"/>
        </w:rPr>
        <w:t xml:space="preserve"> </w:t>
      </w:r>
      <w:r w:rsidR="00030635" w:rsidRPr="00030635">
        <w:rPr>
          <w:rFonts w:ascii="Calibri" w:hAnsi="Calibri"/>
          <w:sz w:val="28"/>
          <w:szCs w:val="28"/>
        </w:rPr>
        <w:t xml:space="preserve">Seneca Group manages real estate projects from conception to completion, tailoring </w:t>
      </w:r>
      <w:r w:rsidR="00817A9D">
        <w:rPr>
          <w:rFonts w:ascii="Calibri" w:hAnsi="Calibri"/>
          <w:sz w:val="28"/>
          <w:szCs w:val="28"/>
        </w:rPr>
        <w:t>their</w:t>
      </w:r>
      <w:r w:rsidR="00030635" w:rsidRPr="00030635">
        <w:rPr>
          <w:rFonts w:ascii="Calibri" w:hAnsi="Calibri"/>
          <w:sz w:val="28"/>
          <w:szCs w:val="28"/>
        </w:rPr>
        <w:t xml:space="preserve"> development management and advisory services to meet </w:t>
      </w:r>
      <w:r w:rsidR="00817A9D">
        <w:rPr>
          <w:rFonts w:ascii="Calibri" w:hAnsi="Calibri"/>
          <w:sz w:val="28"/>
          <w:szCs w:val="28"/>
        </w:rPr>
        <w:t>their</w:t>
      </w:r>
      <w:r w:rsidR="00030635" w:rsidRPr="00030635">
        <w:rPr>
          <w:rFonts w:ascii="Calibri" w:hAnsi="Calibri"/>
          <w:sz w:val="28"/>
          <w:szCs w:val="28"/>
        </w:rPr>
        <w:t xml:space="preserve"> clients’ specific needs at each stage of the process. </w:t>
      </w:r>
      <w:r w:rsidR="00817A9D">
        <w:rPr>
          <w:rFonts w:ascii="Calibri" w:hAnsi="Calibri"/>
          <w:sz w:val="28"/>
          <w:szCs w:val="28"/>
        </w:rPr>
        <w:t>They</w:t>
      </w:r>
      <w:r w:rsidR="00030635" w:rsidRPr="00030635">
        <w:rPr>
          <w:rFonts w:ascii="Calibri" w:hAnsi="Calibri"/>
          <w:sz w:val="28"/>
          <w:szCs w:val="28"/>
        </w:rPr>
        <w:t xml:space="preserve"> serve as the client’s representative, leveraging their </w:t>
      </w:r>
      <w:r w:rsidR="00817A9D">
        <w:rPr>
          <w:rFonts w:ascii="Calibri" w:hAnsi="Calibri"/>
          <w:sz w:val="28"/>
          <w:szCs w:val="28"/>
        </w:rPr>
        <w:t xml:space="preserve">client’s </w:t>
      </w:r>
      <w:r w:rsidR="00030635" w:rsidRPr="00030635">
        <w:rPr>
          <w:rFonts w:ascii="Calibri" w:hAnsi="Calibri"/>
          <w:sz w:val="28"/>
          <w:szCs w:val="28"/>
        </w:rPr>
        <w:t xml:space="preserve">capabilities and providing </w:t>
      </w:r>
      <w:r w:rsidR="00817A9D">
        <w:rPr>
          <w:rFonts w:ascii="Calibri" w:hAnsi="Calibri"/>
          <w:sz w:val="28"/>
          <w:szCs w:val="28"/>
        </w:rPr>
        <w:t>a depth of development management expertise to clients not in the real estate business</w:t>
      </w:r>
      <w:r w:rsidR="00030635" w:rsidRPr="00030635">
        <w:rPr>
          <w:rFonts w:ascii="Calibri" w:hAnsi="Calibri"/>
          <w:sz w:val="28"/>
          <w:szCs w:val="28"/>
        </w:rPr>
        <w:t>.</w:t>
      </w:r>
    </w:p>
    <w:p w:rsidR="00030635" w:rsidRPr="00030635" w:rsidRDefault="00030635" w:rsidP="00030635">
      <w:pPr>
        <w:pStyle w:val="NormalWeb"/>
        <w:rPr>
          <w:rFonts w:ascii="Calibri" w:hAnsi="Calibri"/>
          <w:sz w:val="28"/>
          <w:szCs w:val="28"/>
        </w:rPr>
      </w:pPr>
      <w:r w:rsidRPr="00030635">
        <w:rPr>
          <w:rFonts w:ascii="Calibri" w:hAnsi="Calibri"/>
          <w:sz w:val="28"/>
          <w:szCs w:val="28"/>
        </w:rPr>
        <w:t xml:space="preserve">Seneca Group’s breadth of expertise is highly unique. Because </w:t>
      </w:r>
      <w:r w:rsidR="00817A9D">
        <w:rPr>
          <w:rFonts w:ascii="Calibri" w:hAnsi="Calibri"/>
          <w:sz w:val="28"/>
          <w:szCs w:val="28"/>
        </w:rPr>
        <w:t>they</w:t>
      </w:r>
      <w:r w:rsidRPr="00030635">
        <w:rPr>
          <w:rFonts w:ascii="Calibri" w:hAnsi="Calibri"/>
          <w:sz w:val="28"/>
          <w:szCs w:val="28"/>
        </w:rPr>
        <w:t xml:space="preserve"> understand all phases of the real estate development process, </w:t>
      </w:r>
      <w:r w:rsidR="00817A9D">
        <w:rPr>
          <w:rFonts w:ascii="Calibri" w:hAnsi="Calibri"/>
          <w:sz w:val="28"/>
          <w:szCs w:val="28"/>
        </w:rPr>
        <w:t>they</w:t>
      </w:r>
      <w:r w:rsidRPr="00030635">
        <w:rPr>
          <w:rFonts w:ascii="Calibri" w:hAnsi="Calibri"/>
          <w:sz w:val="28"/>
          <w:szCs w:val="28"/>
        </w:rPr>
        <w:t xml:space="preserve"> craft cohesive strategies from the earliest stages of each project. </w:t>
      </w:r>
      <w:r w:rsidR="00555D24">
        <w:rPr>
          <w:rFonts w:ascii="Calibri" w:hAnsi="Calibri"/>
          <w:sz w:val="28"/>
          <w:szCs w:val="28"/>
        </w:rPr>
        <w:t>Their</w:t>
      </w:r>
      <w:r w:rsidRPr="00030635">
        <w:rPr>
          <w:rFonts w:ascii="Calibri" w:hAnsi="Calibri"/>
          <w:sz w:val="28"/>
          <w:szCs w:val="28"/>
        </w:rPr>
        <w:t xml:space="preserve"> efforts serve to optimize </w:t>
      </w:r>
      <w:r w:rsidR="00555D24">
        <w:rPr>
          <w:rFonts w:ascii="Calibri" w:hAnsi="Calibri"/>
          <w:sz w:val="28"/>
          <w:szCs w:val="28"/>
        </w:rPr>
        <w:t>their</w:t>
      </w:r>
      <w:r w:rsidRPr="00030635">
        <w:rPr>
          <w:rFonts w:ascii="Calibri" w:hAnsi="Calibri"/>
          <w:sz w:val="28"/>
          <w:szCs w:val="28"/>
        </w:rPr>
        <w:t xml:space="preserve"> clients’ decision-making abilities — a key to highly successful outcomes</w:t>
      </w:r>
      <w:r w:rsidR="00847097">
        <w:rPr>
          <w:rFonts w:ascii="Calibri" w:hAnsi="Calibri"/>
          <w:sz w:val="28"/>
          <w:szCs w:val="28"/>
        </w:rPr>
        <w:t>.</w:t>
      </w:r>
    </w:p>
    <w:p w:rsidR="00030635" w:rsidRPr="00030635" w:rsidRDefault="00030635" w:rsidP="00030635">
      <w:pPr>
        <w:pStyle w:val="NormalWeb"/>
        <w:rPr>
          <w:rFonts w:ascii="Calibri" w:hAnsi="Calibri"/>
          <w:sz w:val="28"/>
          <w:szCs w:val="28"/>
        </w:rPr>
      </w:pPr>
      <w:r w:rsidRPr="00030635">
        <w:rPr>
          <w:rFonts w:ascii="Calibri" w:hAnsi="Calibri"/>
          <w:sz w:val="28"/>
          <w:szCs w:val="28"/>
        </w:rPr>
        <w:t xml:space="preserve">The spectrum of </w:t>
      </w:r>
      <w:r w:rsidR="00555D24">
        <w:rPr>
          <w:rFonts w:ascii="Calibri" w:hAnsi="Calibri"/>
          <w:sz w:val="28"/>
          <w:szCs w:val="28"/>
        </w:rPr>
        <w:t>their</w:t>
      </w:r>
      <w:r w:rsidRPr="00030635">
        <w:rPr>
          <w:rFonts w:ascii="Calibri" w:hAnsi="Calibri"/>
          <w:sz w:val="28"/>
          <w:szCs w:val="28"/>
        </w:rPr>
        <w:t xml:space="preserve"> services is illustrated below:</w:t>
      </w:r>
    </w:p>
    <w:p w:rsidR="00D06A86" w:rsidRDefault="00DA447D" w:rsidP="00DD00BC">
      <w:pPr>
        <w:spacing w:line="240" w:lineRule="auto"/>
        <w:rPr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5882640" cy="188214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640" cy="188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016" w:rsidRDefault="00850016">
      <w:pPr>
        <w:spacing w:after="0"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</w:p>
    <w:p w:rsidR="00D06A86" w:rsidRDefault="00D06A86">
      <w:pPr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Contact</w:t>
      </w:r>
      <w:r w:rsidRPr="00DD00BC">
        <w:rPr>
          <w:sz w:val="28"/>
          <w:szCs w:val="28"/>
        </w:rPr>
        <w:t xml:space="preserve">: </w:t>
      </w:r>
    </w:p>
    <w:p w:rsidR="00D06A86" w:rsidRDefault="00D06A86" w:rsidP="00D06A86">
      <w:pPr>
        <w:spacing w:after="0"/>
        <w:rPr>
          <w:sz w:val="28"/>
          <w:szCs w:val="28"/>
        </w:rPr>
      </w:pPr>
      <w:r w:rsidRPr="00DD00BC">
        <w:rPr>
          <w:sz w:val="28"/>
          <w:szCs w:val="28"/>
        </w:rPr>
        <w:t>Seneca Group</w:t>
      </w:r>
    </w:p>
    <w:p w:rsidR="00D06A86" w:rsidRDefault="00D06A86" w:rsidP="00D06A86">
      <w:pPr>
        <w:spacing w:after="0"/>
        <w:rPr>
          <w:sz w:val="28"/>
          <w:szCs w:val="28"/>
        </w:rPr>
      </w:pPr>
      <w:r>
        <w:rPr>
          <w:sz w:val="28"/>
          <w:szCs w:val="28"/>
        </w:rPr>
        <w:t>1191 Second Avenue, Suite 1500</w:t>
      </w:r>
    </w:p>
    <w:p w:rsidR="00D06A86" w:rsidRDefault="00D06A86" w:rsidP="00D06A86">
      <w:pPr>
        <w:spacing w:after="0"/>
        <w:rPr>
          <w:sz w:val="28"/>
          <w:szCs w:val="28"/>
        </w:rPr>
      </w:pPr>
      <w:r>
        <w:rPr>
          <w:sz w:val="28"/>
          <w:szCs w:val="28"/>
        </w:rPr>
        <w:t>Seattle, WA 98101</w:t>
      </w:r>
    </w:p>
    <w:p w:rsidR="00635E18" w:rsidRPr="00555D24" w:rsidRDefault="00635E18" w:rsidP="00635E18">
      <w:pPr>
        <w:rPr>
          <w:sz w:val="28"/>
          <w:szCs w:val="28"/>
        </w:rPr>
      </w:pPr>
      <w:r>
        <w:rPr>
          <w:sz w:val="28"/>
          <w:szCs w:val="28"/>
        </w:rPr>
        <w:t>Attn:</w:t>
      </w:r>
      <w:r w:rsidR="00C670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B7F52">
        <w:rPr>
          <w:sz w:val="28"/>
          <w:szCs w:val="28"/>
        </w:rPr>
        <w:t>Bob Wicklein</w:t>
      </w:r>
    </w:p>
    <w:p w:rsidR="00D06A86" w:rsidRDefault="00D06A86" w:rsidP="00635E18">
      <w:pPr>
        <w:spacing w:after="0"/>
        <w:rPr>
          <w:sz w:val="28"/>
          <w:szCs w:val="28"/>
        </w:rPr>
      </w:pPr>
      <w:r>
        <w:rPr>
          <w:sz w:val="28"/>
          <w:szCs w:val="28"/>
        </w:rPr>
        <w:t>(206) 628-3150</w:t>
      </w:r>
      <w:r w:rsidR="00415D18">
        <w:rPr>
          <w:sz w:val="28"/>
          <w:szCs w:val="28"/>
        </w:rPr>
        <w:t xml:space="preserve"> </w:t>
      </w:r>
      <w:r w:rsidR="00977007">
        <w:rPr>
          <w:sz w:val="28"/>
          <w:szCs w:val="28"/>
        </w:rPr>
        <w:t>(O)</w:t>
      </w:r>
    </w:p>
    <w:p w:rsidR="00977007" w:rsidRDefault="00977007" w:rsidP="00635E18">
      <w:pPr>
        <w:spacing w:after="0"/>
        <w:rPr>
          <w:sz w:val="28"/>
          <w:szCs w:val="28"/>
        </w:rPr>
      </w:pPr>
      <w:r>
        <w:rPr>
          <w:sz w:val="28"/>
          <w:szCs w:val="28"/>
        </w:rPr>
        <w:t>(206</w:t>
      </w:r>
      <w:r w:rsidR="00C62028">
        <w:rPr>
          <w:sz w:val="28"/>
          <w:szCs w:val="28"/>
        </w:rPr>
        <w:t xml:space="preserve">) </w:t>
      </w:r>
      <w:r>
        <w:rPr>
          <w:sz w:val="28"/>
          <w:szCs w:val="28"/>
        </w:rPr>
        <w:t>808-78</w:t>
      </w:r>
      <w:r w:rsidR="009B7F52">
        <w:rPr>
          <w:sz w:val="28"/>
          <w:szCs w:val="28"/>
        </w:rPr>
        <w:t>74</w:t>
      </w:r>
      <w:r>
        <w:rPr>
          <w:sz w:val="28"/>
          <w:szCs w:val="28"/>
        </w:rPr>
        <w:t xml:space="preserve"> (D)</w:t>
      </w:r>
    </w:p>
    <w:p w:rsidR="00D06A86" w:rsidRPr="00D06A86" w:rsidRDefault="00D06A86" w:rsidP="00D06A86">
      <w:pPr>
        <w:spacing w:after="0"/>
        <w:rPr>
          <w:sz w:val="28"/>
          <w:szCs w:val="28"/>
        </w:rPr>
      </w:pPr>
      <w:r>
        <w:rPr>
          <w:sz w:val="28"/>
          <w:szCs w:val="28"/>
        </w:rPr>
        <w:t>www.senecagroup.com</w:t>
      </w:r>
    </w:p>
    <w:sectPr w:rsidR="00D06A86" w:rsidRPr="00D06A86" w:rsidSect="001F7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4F68"/>
    <w:multiLevelType w:val="hybridMultilevel"/>
    <w:tmpl w:val="FC2CB0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601BBE"/>
    <w:multiLevelType w:val="multilevel"/>
    <w:tmpl w:val="E8CC8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A1486E"/>
    <w:multiLevelType w:val="hybridMultilevel"/>
    <w:tmpl w:val="CFDE3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701BC1"/>
    <w:multiLevelType w:val="hybridMultilevel"/>
    <w:tmpl w:val="10AE32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CC698A"/>
    <w:multiLevelType w:val="hybridMultilevel"/>
    <w:tmpl w:val="33BAB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AE29BF"/>
    <w:multiLevelType w:val="hybridMultilevel"/>
    <w:tmpl w:val="585C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30FF"/>
    <w:rsid w:val="00001FD9"/>
    <w:rsid w:val="00030635"/>
    <w:rsid w:val="00095753"/>
    <w:rsid w:val="000D4517"/>
    <w:rsid w:val="000E16D9"/>
    <w:rsid w:val="000F7F61"/>
    <w:rsid w:val="001A219E"/>
    <w:rsid w:val="001A3629"/>
    <w:rsid w:val="001F791D"/>
    <w:rsid w:val="00341DAE"/>
    <w:rsid w:val="00360EBF"/>
    <w:rsid w:val="00375250"/>
    <w:rsid w:val="003F395D"/>
    <w:rsid w:val="004105F4"/>
    <w:rsid w:val="00414D1E"/>
    <w:rsid w:val="00415D18"/>
    <w:rsid w:val="00415D39"/>
    <w:rsid w:val="00486858"/>
    <w:rsid w:val="004A5A50"/>
    <w:rsid w:val="004D01F3"/>
    <w:rsid w:val="004F12FB"/>
    <w:rsid w:val="004F213C"/>
    <w:rsid w:val="0050080D"/>
    <w:rsid w:val="00541E8B"/>
    <w:rsid w:val="00555D24"/>
    <w:rsid w:val="00570E3A"/>
    <w:rsid w:val="0059239C"/>
    <w:rsid w:val="005B685E"/>
    <w:rsid w:val="005E1DBD"/>
    <w:rsid w:val="00635E18"/>
    <w:rsid w:val="00663B37"/>
    <w:rsid w:val="006845A9"/>
    <w:rsid w:val="00693AE4"/>
    <w:rsid w:val="006D267B"/>
    <w:rsid w:val="006E7130"/>
    <w:rsid w:val="00710946"/>
    <w:rsid w:val="007A06BF"/>
    <w:rsid w:val="00817A9D"/>
    <w:rsid w:val="00847097"/>
    <w:rsid w:val="00850016"/>
    <w:rsid w:val="008C7FEC"/>
    <w:rsid w:val="008E5B44"/>
    <w:rsid w:val="00900131"/>
    <w:rsid w:val="009430FF"/>
    <w:rsid w:val="00947B45"/>
    <w:rsid w:val="00977007"/>
    <w:rsid w:val="009A6357"/>
    <w:rsid w:val="009B1CFB"/>
    <w:rsid w:val="009B76D2"/>
    <w:rsid w:val="009B7F52"/>
    <w:rsid w:val="009E34E4"/>
    <w:rsid w:val="00A33B8F"/>
    <w:rsid w:val="00A55C1C"/>
    <w:rsid w:val="00AA62D3"/>
    <w:rsid w:val="00AB30CA"/>
    <w:rsid w:val="00AF0E99"/>
    <w:rsid w:val="00B43E53"/>
    <w:rsid w:val="00B57F90"/>
    <w:rsid w:val="00B64726"/>
    <w:rsid w:val="00BA14B5"/>
    <w:rsid w:val="00BA5BC2"/>
    <w:rsid w:val="00BB4EF1"/>
    <w:rsid w:val="00BE7C6A"/>
    <w:rsid w:val="00C56097"/>
    <w:rsid w:val="00C62028"/>
    <w:rsid w:val="00C67060"/>
    <w:rsid w:val="00CA78B6"/>
    <w:rsid w:val="00CC77A2"/>
    <w:rsid w:val="00D067FE"/>
    <w:rsid w:val="00D06A86"/>
    <w:rsid w:val="00D4466C"/>
    <w:rsid w:val="00D82068"/>
    <w:rsid w:val="00DA447D"/>
    <w:rsid w:val="00DD00BC"/>
    <w:rsid w:val="00EE7407"/>
    <w:rsid w:val="00F169F0"/>
    <w:rsid w:val="00F2523E"/>
    <w:rsid w:val="00F27519"/>
    <w:rsid w:val="00F511EC"/>
    <w:rsid w:val="00F633A9"/>
    <w:rsid w:val="00F64ACB"/>
    <w:rsid w:val="00F76B36"/>
    <w:rsid w:val="00FA28AC"/>
    <w:rsid w:val="00FA2C50"/>
    <w:rsid w:val="00FA3F84"/>
    <w:rsid w:val="00FB4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BE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82068"/>
    <w:pPr>
      <w:spacing w:before="150" w:after="150" w:line="420" w:lineRule="atLeast"/>
      <w:outlineLvl w:val="0"/>
    </w:pPr>
    <w:rPr>
      <w:rFonts w:ascii="Times New Roman" w:eastAsia="Times New Roman" w:hAnsi="Times New Roman"/>
      <w:color w:val="9C9A00"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07132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F64A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82068"/>
    <w:rPr>
      <w:rFonts w:ascii="Times New Roman" w:eastAsia="Times New Roman" w:hAnsi="Times New Roman"/>
      <w:color w:val="9C9A00"/>
      <w:kern w:val="36"/>
      <w:sz w:val="36"/>
      <w:szCs w:val="36"/>
    </w:rPr>
  </w:style>
  <w:style w:type="paragraph" w:customStyle="1" w:styleId="hometext">
    <w:name w:val="hometext"/>
    <w:basedOn w:val="Normal"/>
    <w:rsid w:val="00D82068"/>
    <w:pPr>
      <w:spacing w:before="100" w:beforeAutospacing="1" w:after="100" w:afterAutospacing="1" w:line="432" w:lineRule="atLeast"/>
    </w:pPr>
    <w:rPr>
      <w:rFonts w:ascii="Times New Roman" w:eastAsia="Times New Roman" w:hAnsi="Times New Roman"/>
      <w:b/>
      <w:bCs/>
      <w:color w:val="44687D"/>
      <w:sz w:val="18"/>
      <w:szCs w:val="18"/>
    </w:rPr>
  </w:style>
  <w:style w:type="paragraph" w:customStyle="1" w:styleId="Indent2">
    <w:name w:val="Indent2"/>
    <w:basedOn w:val="Normal"/>
    <w:rsid w:val="00030635"/>
    <w:pPr>
      <w:widowControl w:val="0"/>
      <w:spacing w:after="0" w:line="240" w:lineRule="auto"/>
      <w:ind w:left="900" w:hanging="360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57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60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76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24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752968">
                          <w:marLeft w:val="0"/>
                          <w:marRight w:val="0"/>
                          <w:marTop w:val="1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0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7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80313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3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1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5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616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9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82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372773">
                          <w:marLeft w:val="0"/>
                          <w:marRight w:val="0"/>
                          <w:marTop w:val="9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4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91685">
              <w:marLeft w:val="0"/>
              <w:marRight w:val="0"/>
              <w:marTop w:val="48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05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Parsons Public Relations</Company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Warren</dc:creator>
  <cp:lastModifiedBy>maryb</cp:lastModifiedBy>
  <cp:revision>2</cp:revision>
  <cp:lastPrinted>2011-06-01T17:35:00Z</cp:lastPrinted>
  <dcterms:created xsi:type="dcterms:W3CDTF">2011-08-08T18:39:00Z</dcterms:created>
  <dcterms:modified xsi:type="dcterms:W3CDTF">2011-08-08T18:39:00Z</dcterms:modified>
</cp:coreProperties>
</file>